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 xml:space="preserve">Cabinet </w:t>
            </w:r>
          </w:p>
          <w:p w:rsidR="003C531A" w:rsidRDefault="00A31EFD" w:rsidP="003C531A">
            <w:pPr>
              <w:rPr>
                <w:rStyle w:val="Firstpagetablebold"/>
              </w:rPr>
            </w:pPr>
            <w:r>
              <w:rPr>
                <w:rStyle w:val="Firstpagetablebold"/>
              </w:rPr>
              <w:t xml:space="preserve">14 October </w:t>
            </w:r>
            <w:r w:rsidR="003C531A">
              <w:rPr>
                <w:rStyle w:val="Firstpagetablebold"/>
              </w:rPr>
              <w:t>2020</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A31EFD">
              <w:t>s</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3C531A">
            <w:r>
              <w:rPr>
                <w:rStyle w:val="Firstpagetablebold"/>
              </w:rPr>
              <w:t xml:space="preserve">Recommendation(s): </w:t>
            </w:r>
            <w:r w:rsidR="00DC3B68">
              <w:rPr>
                <w:rStyle w:val="Firstpagetablebold"/>
              </w:rPr>
              <w:t xml:space="preserve">Cabinet </w:t>
            </w:r>
            <w:r w:rsidR="003C531A">
              <w:rPr>
                <w:rStyle w:val="Firstpagetablebold"/>
              </w:rPr>
              <w:t>is</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B365E3">
            <w:r>
              <w:rPr>
                <w:rStyle w:val="Firstpagetablebold"/>
              </w:rPr>
              <w:t>Note the decision</w:t>
            </w:r>
            <w:r w:rsidR="00A31EFD">
              <w:rPr>
                <w:rStyle w:val="Firstpagetablebold"/>
              </w:rPr>
              <w:t>s</w:t>
            </w:r>
            <w:r w:rsidR="00BB4116">
              <w:rPr>
                <w:rStyle w:val="Firstpagetablebold"/>
              </w:rPr>
              <w:t xml:space="preserve"> taken as set out in the report.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3F00F0" w:rsidP="00CC2D82">
            <w:pPr>
              <w:rPr>
                <w:rFonts w:eastAsia="Arial Unicode MS"/>
              </w:rPr>
            </w:pPr>
            <w:r>
              <w:rPr>
                <w:rFonts w:eastAsia="Arial Unicode MS"/>
              </w:rPr>
              <w:t>1</w:t>
            </w:r>
          </w:p>
        </w:tc>
        <w:tc>
          <w:tcPr>
            <w:tcW w:w="6406" w:type="dxa"/>
            <w:tcBorders>
              <w:top w:val="single" w:sz="8" w:space="0" w:color="000000"/>
              <w:left w:val="nil"/>
              <w:bottom w:val="single" w:sz="8" w:space="0" w:color="000000"/>
              <w:right w:val="single" w:sz="8" w:space="0" w:color="000000"/>
            </w:tcBorders>
          </w:tcPr>
          <w:p w:rsidR="00CC2D82" w:rsidRPr="00CC2D82" w:rsidRDefault="003F00F0" w:rsidP="00AC22F7">
            <w:pPr>
              <w:rPr>
                <w:rFonts w:eastAsia="Arial Unicode MS"/>
              </w:rPr>
            </w:pPr>
            <w:r>
              <w:rPr>
                <w:rFonts w:eastAsia="Arial Unicode MS"/>
              </w:rPr>
              <w:t>Exempt</w:t>
            </w:r>
            <w:r w:rsidR="00BC4998">
              <w:rPr>
                <w:rFonts w:eastAsia="Arial Unicode MS"/>
              </w:rPr>
              <w:t xml:space="preserve"> </w:t>
            </w:r>
            <w:r w:rsidR="00A31EFD">
              <w:rPr>
                <w:rFonts w:eastAsia="Arial Unicode MS"/>
              </w:rPr>
              <w:t xml:space="preserve">– additional </w:t>
            </w:r>
            <w:r w:rsidR="00BC4998">
              <w:rPr>
                <w:rFonts w:eastAsia="Arial Unicode MS"/>
              </w:rPr>
              <w:t>information</w:t>
            </w:r>
            <w:r w:rsidR="00A31EFD">
              <w:rPr>
                <w:rFonts w:eastAsia="Arial Unicode MS"/>
              </w:rPr>
              <w:t xml:space="preserve"> </w:t>
            </w:r>
            <w:r w:rsidR="00AC22F7">
              <w:rPr>
                <w:rFonts w:eastAsia="Arial Unicode MS"/>
              </w:rPr>
              <w:t>for</w:t>
            </w:r>
            <w:bookmarkStart w:id="0" w:name="_GoBack"/>
            <w:bookmarkEnd w:id="0"/>
            <w:r w:rsidR="00A31EFD">
              <w:rPr>
                <w:rFonts w:eastAsia="Arial Unicode MS"/>
              </w:rPr>
              <w:t xml:space="preserve"> item 3</w:t>
            </w: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on </w:t>
      </w:r>
      <w:r w:rsidR="003C531A">
        <w:t>decision</w:t>
      </w:r>
      <w:r w:rsidR="007C397B">
        <w:t>s</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DC3B68">
      <w:pPr>
        <w:pStyle w:val="ListParagraph"/>
        <w:numPr>
          <w:ilvl w:val="0"/>
          <w:numId w:val="0"/>
        </w:numPr>
        <w:ind w:left="426"/>
        <w:rPr>
          <w:rStyle w:val="Firstpagetablebold"/>
          <w:b w:val="0"/>
          <w:i/>
        </w:rPr>
      </w:pPr>
    </w:p>
    <w:p w:rsidR="000C3011" w:rsidRPr="005C1B66" w:rsidRDefault="003C531A" w:rsidP="005C1B66">
      <w:pPr>
        <w:rPr>
          <w:b/>
        </w:rPr>
      </w:pPr>
      <w:r>
        <w:rPr>
          <w:b/>
        </w:rPr>
        <w:lastRenderedPageBreak/>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w:t>
      </w:r>
      <w:r w:rsidR="00A31EFD">
        <w:t>s</w:t>
      </w:r>
      <w:r>
        <w:t xml:space="preserve"> ha</w:t>
      </w:r>
      <w:r w:rsidR="00A31EFD">
        <w:t>ve</w:t>
      </w:r>
      <w:r w:rsidR="000C3011">
        <w:t xml:space="preserve"> been taken </w:t>
      </w:r>
      <w:r w:rsidR="005C1B66">
        <w:t xml:space="preserve">using urgency powers </w:t>
      </w:r>
      <w:r w:rsidR="000C3011">
        <w:t xml:space="preserve">for which Cabinet would </w:t>
      </w:r>
      <w:r w:rsidR="005C1B66">
        <w:t>otherwise</w:t>
      </w:r>
      <w:r w:rsidR="000C3011">
        <w:t xml:space="preserve"> have been required to give the necessary authority to act. </w:t>
      </w:r>
      <w:r w:rsidR="000C3011" w:rsidRPr="000C3011">
        <w:rPr>
          <w:rFonts w:cs="Arial"/>
          <w:bCs/>
        </w:rPr>
        <w:t xml:space="preserve">Cabinet </w:t>
      </w:r>
      <w:r>
        <w:rPr>
          <w:rFonts w:cs="Arial"/>
          <w:bCs/>
        </w:rPr>
        <w:t>is asked to note the</w:t>
      </w:r>
      <w:r w:rsidR="00CF05DA">
        <w:t xml:space="preserve"> dec</w:t>
      </w:r>
      <w:r>
        <w:t>ision</w:t>
      </w:r>
      <w:r w:rsidR="00A31EFD" w:rsidRPr="00A31EFD">
        <w:t>s</w:t>
      </w:r>
      <w:r w:rsidR="00A31EFD">
        <w:t>.</w:t>
      </w:r>
    </w:p>
    <w:p w:rsidR="00ED0FD4" w:rsidRDefault="00ED0FD4" w:rsidP="00AB6DD5">
      <w:pPr>
        <w:pStyle w:val="ListParagraph"/>
        <w:ind w:left="426" w:hanging="426"/>
      </w:pPr>
      <w:r>
        <w:t>This report does not include the decisions taken using</w:t>
      </w:r>
      <w:r w:rsidR="00C1481D">
        <w:t xml:space="preserve"> urgency or</w:t>
      </w:r>
      <w:r>
        <w:t xml:space="preserve"> emergency powers that</w:t>
      </w:r>
      <w:r w:rsidR="00C1481D">
        <w:t xml:space="preserve"> were</w:t>
      </w:r>
      <w:r>
        <w:t xml:space="preserve"> reported to the </w:t>
      </w:r>
      <w:r w:rsidR="00C1481D">
        <w:t>meeting</w:t>
      </w:r>
      <w:r w:rsidR="003F00F0">
        <w:t>s</w:t>
      </w:r>
      <w:r w:rsidR="00C1481D">
        <w:t xml:space="preserve"> of Cabinet on 15 July 2020</w:t>
      </w:r>
      <w:r w:rsidR="00A31EFD">
        <w:t>,</w:t>
      </w:r>
      <w:r w:rsidR="003F00F0">
        <w:t xml:space="preserve"> 12 August </w:t>
      </w:r>
      <w:r w:rsidR="00A31EFD">
        <w:t xml:space="preserve">or 9 September </w:t>
      </w:r>
      <w:r w:rsidR="003F00F0">
        <w:t>2020</w:t>
      </w:r>
      <w:r w:rsidR="00C1481D">
        <w:t xml:space="preserve"> </w:t>
      </w:r>
      <w:r>
        <w:t xml:space="preserve">since those decisions have already been reported to </w:t>
      </w:r>
      <w:r w:rsidR="003F00F0">
        <w:t>Cabinet</w:t>
      </w:r>
      <w:r>
        <w:t>.</w:t>
      </w:r>
    </w:p>
    <w:p w:rsidR="004B32E1" w:rsidRDefault="004B32E1" w:rsidP="004B32E1">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CC2D82" w:rsidRPr="00C74FC0" w:rsidTr="00C1481D">
        <w:tc>
          <w:tcPr>
            <w:tcW w:w="1137" w:type="dxa"/>
            <w:noWrap/>
          </w:tcPr>
          <w:p w:rsidR="00CC2D82" w:rsidRPr="00CC2D82" w:rsidRDefault="00CC2D82" w:rsidP="00CC2D82">
            <w:pPr>
              <w:pStyle w:val="Normal17"/>
              <w:overflowPunct/>
              <w:autoSpaceDE/>
              <w:autoSpaceDN/>
              <w:adjustRightInd/>
              <w:textAlignment w:val="auto"/>
              <w:rPr>
                <w:b/>
              </w:rPr>
            </w:pPr>
            <w:r w:rsidRPr="00CC2D82">
              <w:rPr>
                <w:b/>
                <w:bdr w:val="nil"/>
              </w:rPr>
              <w:t xml:space="preserve">ITEM 1 </w:t>
            </w:r>
          </w:p>
        </w:tc>
        <w:tc>
          <w:tcPr>
            <w:tcW w:w="7914" w:type="dxa"/>
            <w:gridSpan w:val="2"/>
          </w:tcPr>
          <w:p w:rsidR="00CC2D82" w:rsidRPr="00C74FC0" w:rsidRDefault="00505CF6" w:rsidP="00C1481D">
            <w:pPr>
              <w:pStyle w:val="Normal17"/>
              <w:jc w:val="both"/>
              <w:rPr>
                <w:rFonts w:ascii="Arial Bold" w:hAnsi="Arial Bold"/>
                <w:b/>
                <w:caps/>
              </w:rPr>
            </w:pPr>
            <w:r w:rsidRPr="00505CF6">
              <w:rPr>
                <w:rFonts w:ascii="Arial Bold" w:hAnsi="Arial Bold"/>
                <w:b/>
                <w:caps/>
              </w:rPr>
              <w:t>Authorisation of Environmental Health Officers respond to local COVID-19 outbreaks on a County-wide basis.</w:t>
            </w:r>
          </w:p>
        </w:tc>
      </w:tr>
      <w:tr w:rsidR="00CC2D82" w:rsidTr="00C1481D">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 xml:space="preserve">Decision: </w:t>
            </w:r>
          </w:p>
          <w:p w:rsidR="00505CF6" w:rsidRPr="00505CF6" w:rsidRDefault="00505CF6" w:rsidP="00505CF6">
            <w:pPr>
              <w:rPr>
                <w:rFonts w:cs="Arial"/>
              </w:rPr>
            </w:pPr>
            <w:r w:rsidRPr="00505CF6">
              <w:rPr>
                <w:rFonts w:cs="Arial"/>
              </w:rPr>
              <w:t>1.</w:t>
            </w:r>
            <w:r w:rsidRPr="00505CF6">
              <w:rPr>
                <w:rFonts w:cs="Arial"/>
              </w:rPr>
              <w:tab/>
              <w:t>To enter into a written agreement with the other Oxfordshire District Councils to allow the authorities to provide support and assistance to each other in responding to local COVID-19 outbreaks (“The Oxfordshire COVID-19 Local Outbreak Control Plan” (LOCP)).</w:t>
            </w:r>
          </w:p>
          <w:p w:rsidR="00505CF6" w:rsidRPr="00505CF6" w:rsidRDefault="00505CF6" w:rsidP="00505CF6">
            <w:pPr>
              <w:rPr>
                <w:rFonts w:cs="Arial"/>
              </w:rPr>
            </w:pPr>
            <w:r w:rsidRPr="00505CF6">
              <w:rPr>
                <w:rFonts w:cs="Arial"/>
              </w:rPr>
              <w:t>2.</w:t>
            </w:r>
            <w:r w:rsidRPr="00505CF6">
              <w:rPr>
                <w:rFonts w:cs="Arial"/>
              </w:rPr>
              <w:tab/>
              <w:t>To authorise the Council’s Environmental Health Officers to operate across the other district authority areas within Oxfordshire in delivering the LOCP.</w:t>
            </w:r>
          </w:p>
          <w:p w:rsidR="00AD1DCC" w:rsidRPr="00056F01" w:rsidRDefault="00505CF6" w:rsidP="00505CF6">
            <w:pPr>
              <w:rPr>
                <w:rFonts w:cs="Arial"/>
              </w:rPr>
            </w:pPr>
            <w:r w:rsidRPr="00505CF6">
              <w:rPr>
                <w:rFonts w:cs="Arial"/>
              </w:rPr>
              <w:t>3.</w:t>
            </w:r>
            <w:r w:rsidRPr="00505CF6">
              <w:rPr>
                <w:rFonts w:cs="Arial"/>
              </w:rPr>
              <w:tab/>
              <w:t xml:space="preserve">To authorise Environmental Health Officers employed by the other Oxfordshire district councils to operate within the City on behalf of Oxford City </w:t>
            </w:r>
            <w:r>
              <w:rPr>
                <w:rFonts w:cs="Arial"/>
              </w:rPr>
              <w:t>Council in delivering the LOCP.</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5CF6" w:rsidP="003F00F0">
            <w:pPr>
              <w:pStyle w:val="Normal17"/>
              <w:jc w:val="both"/>
              <w:rPr>
                <w:sz w:val="24"/>
                <w:szCs w:val="24"/>
              </w:rPr>
            </w:pPr>
            <w:r w:rsidRPr="00505CF6">
              <w:rPr>
                <w:sz w:val="24"/>
                <w:szCs w:val="24"/>
              </w:rPr>
              <w:t>11 September 2020</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6D382B">
            <w:pPr>
              <w:pStyle w:val="Normal17"/>
              <w:jc w:val="both"/>
              <w:rPr>
                <w:sz w:val="24"/>
                <w:szCs w:val="24"/>
                <w:bdr w:val="nil"/>
              </w:rPr>
            </w:pPr>
            <w:r w:rsidRPr="00AD1DCC">
              <w:rPr>
                <w:sz w:val="24"/>
                <w:szCs w:val="24"/>
                <w:bdr w:val="nil"/>
              </w:rPr>
              <w:t>Head of Paid Service (</w:t>
            </w:r>
            <w:r w:rsidR="00CC2D82" w:rsidRPr="00AD1DCC">
              <w:rPr>
                <w:sz w:val="24"/>
                <w:szCs w:val="24"/>
                <w:bdr w:val="nil"/>
              </w:rPr>
              <w:t>Chief Executive</w:t>
            </w:r>
            <w:r w:rsidRPr="00AD1DCC">
              <w:rPr>
                <w:sz w:val="24"/>
                <w:szCs w:val="24"/>
                <w:bdr w:val="nil"/>
              </w:rPr>
              <w:t>)</w:t>
            </w:r>
          </w:p>
          <w:p w:rsidR="00AD1DCC" w:rsidRPr="00AD1DCC" w:rsidRDefault="00AD1DCC" w:rsidP="006D382B">
            <w:pPr>
              <w:pStyle w:val="Normal17"/>
              <w:jc w:val="both"/>
              <w:rPr>
                <w:sz w:val="24"/>
                <w:szCs w:val="24"/>
                <w:bdr w:val="nil"/>
              </w:rPr>
            </w:pPr>
          </w:p>
          <w:p w:rsidR="00AD1DCC" w:rsidRPr="00AD1DCC" w:rsidRDefault="00AD1DCC" w:rsidP="00505CF6">
            <w:pPr>
              <w:pStyle w:val="Normal17"/>
              <w:jc w:val="both"/>
              <w:rPr>
                <w:sz w:val="24"/>
                <w:szCs w:val="24"/>
                <w:bdr w:val="nil"/>
              </w:rPr>
            </w:pPr>
            <w:r w:rsidRPr="00AD1DCC">
              <w:rPr>
                <w:sz w:val="24"/>
                <w:szCs w:val="24"/>
                <w:bdr w:val="nil"/>
              </w:rPr>
              <w:t xml:space="preserve">Decision taken in consultation with the </w:t>
            </w:r>
            <w:r w:rsidR="00505CF6">
              <w:rPr>
                <w:sz w:val="24"/>
                <w:szCs w:val="24"/>
                <w:bdr w:val="nil"/>
              </w:rPr>
              <w:t>Leader of the Council</w:t>
            </w:r>
            <w:r w:rsidR="00BE11BE">
              <w:rPr>
                <w:sz w:val="24"/>
                <w:szCs w:val="24"/>
                <w:bdr w:val="nil"/>
              </w:rPr>
              <w:t>, the Head of Financial Services and the Head of Law and Governance</w:t>
            </w:r>
          </w:p>
        </w:tc>
      </w:tr>
      <w:tr w:rsidR="005043A3"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43A3" w:rsidRPr="00AD1DCC" w:rsidRDefault="005043A3" w:rsidP="005043A3">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AD1DCC" w:rsidRPr="00AD1DCC" w:rsidRDefault="00AD1DCC" w:rsidP="005043A3">
            <w:pPr>
              <w:rPr>
                <w:rFonts w:cs="Arial"/>
                <w:sz w:val="8"/>
                <w:szCs w:val="8"/>
              </w:rPr>
            </w:pPr>
          </w:p>
          <w:p w:rsidR="00BE11BE" w:rsidRPr="00BE11BE" w:rsidRDefault="005043A3" w:rsidP="00BE11BE">
            <w:pPr>
              <w:rPr>
                <w:rFonts w:cs="Arial"/>
                <w:szCs w:val="24"/>
              </w:rPr>
            </w:pPr>
            <w:r w:rsidRPr="00AD1DCC">
              <w:rPr>
                <w:rFonts w:cs="Arial"/>
                <w:szCs w:val="24"/>
              </w:rPr>
              <w:t xml:space="preserve">Constitution </w:t>
            </w:r>
            <w:r w:rsidR="00C1481D" w:rsidRPr="00AD1DCC">
              <w:rPr>
                <w:rFonts w:cs="Arial"/>
                <w:szCs w:val="24"/>
              </w:rPr>
              <w:t>9.3(b</w:t>
            </w:r>
            <w:r w:rsidRPr="00AD1DCC">
              <w:rPr>
                <w:rFonts w:cs="Arial"/>
                <w:szCs w:val="24"/>
              </w:rPr>
              <w:t>)</w:t>
            </w:r>
            <w:r w:rsidR="00BE11BE">
              <w:rPr>
                <w:rFonts w:cs="Arial"/>
                <w:szCs w:val="24"/>
              </w:rPr>
              <w:t>:</w:t>
            </w:r>
          </w:p>
          <w:p w:rsidR="00BE11BE" w:rsidRPr="00BE11BE" w:rsidRDefault="00BE11BE" w:rsidP="00BE11BE">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AD1DCC" w:rsidRPr="00811BC4" w:rsidRDefault="00BE11BE" w:rsidP="00056F01">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A31EFD">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5CF6" w:rsidP="006D382B">
            <w:pPr>
              <w:pStyle w:val="Normal17"/>
              <w:jc w:val="both"/>
              <w:rPr>
                <w:bCs/>
                <w:sz w:val="24"/>
                <w:szCs w:val="24"/>
              </w:rPr>
            </w:pPr>
            <w:r>
              <w:rPr>
                <w:bCs/>
                <w:sz w:val="24"/>
                <w:szCs w:val="24"/>
              </w:rPr>
              <w:t>Not key</w:t>
            </w:r>
          </w:p>
        </w:tc>
      </w:tr>
      <w:tr w:rsidR="005043A3"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5043A3" w:rsidP="00A31EFD">
            <w:pPr>
              <w:pStyle w:val="Normal17"/>
              <w:rPr>
                <w:b/>
                <w:bCs/>
                <w:sz w:val="24"/>
                <w:szCs w:val="24"/>
              </w:rPr>
            </w:pPr>
            <w:r w:rsidRPr="00AD1DCC">
              <w:rPr>
                <w:b/>
                <w:bCs/>
                <w:sz w:val="24"/>
                <w:szCs w:val="24"/>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505CF6" w:rsidP="00AB6DD5">
            <w:pPr>
              <w:rPr>
                <w:rFonts w:cs="Arial"/>
                <w:szCs w:val="24"/>
              </w:rPr>
            </w:pPr>
            <w:r w:rsidRPr="00505CF6">
              <w:rPr>
                <w:rFonts w:cs="Arial"/>
                <w:szCs w:val="24"/>
              </w:rPr>
              <w:t xml:space="preserve">Under the LOCP, the local authorities in Oxfordshire have all agreed to establish a ‘pool’ of Environmental Health Officers who will work with partner organisations to provide the response to local COVID-19 outbreaks (the Authorised Officers). This includes an out of hours service to cover every weekend from 9am to 5pm from mid-September until </w:t>
            </w:r>
            <w:r w:rsidRPr="00505CF6">
              <w:rPr>
                <w:rFonts w:cs="Arial"/>
                <w:szCs w:val="24"/>
              </w:rPr>
              <w:lastRenderedPageBreak/>
              <w:t>17th January 2021 when the regulations are due to expire. These Authorised Officers will be authorised to act as if they were an employee of each of the local authorities in order to exercise any enforcement powers that might be required to manage local outbreaks across Oxfordshire, irrespective of the officers’ employing council, including, but not limited to, attending sites at any location across Oxfordshire for the purpose of inspection, providing advice and assistance to any business owner/resident/landlord/other individual (as appropriate) and serving any enforcement, prohibition or other notice as required</w:t>
            </w:r>
          </w:p>
        </w:tc>
      </w:tr>
      <w:tr w:rsidR="00CC2D82"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3F00F0">
            <w:pPr>
              <w:pStyle w:val="Normal17"/>
              <w:rPr>
                <w:b/>
                <w:bCs/>
                <w:sz w:val="24"/>
                <w:szCs w:val="24"/>
              </w:rPr>
            </w:pPr>
            <w:r w:rsidRPr="00AD1DCC">
              <w:rPr>
                <w:b/>
                <w:bCs/>
                <w:sz w:val="24"/>
                <w:szCs w:val="24"/>
              </w:rPr>
              <w:lastRenderedPageBreak/>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5CF6" w:rsidP="00AB6DD5">
            <w:pPr>
              <w:rPr>
                <w:szCs w:val="24"/>
              </w:rPr>
            </w:pPr>
            <w:r w:rsidRPr="00505CF6">
              <w:rPr>
                <w:szCs w:val="24"/>
              </w:rPr>
              <w:t>To not enter into these arrangements would not support the Oxfordshire COVID-19 Local Outbreak Control Plan.</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CC2D82" w:rsidP="006D382B">
            <w:pPr>
              <w:pStyle w:val="Normal17"/>
              <w:jc w:val="both"/>
              <w:rPr>
                <w:b/>
                <w:bCs/>
                <w:sz w:val="24"/>
                <w:szCs w:val="24"/>
              </w:rPr>
            </w:pPr>
            <w:r w:rsidRPr="00056F01">
              <w:rPr>
                <w:b/>
                <w:bCs/>
                <w:sz w:val="24"/>
                <w:szCs w:val="24"/>
              </w:rPr>
              <w:t>Wards</w:t>
            </w:r>
            <w:r w:rsidR="005043A3" w:rsidRPr="00056F01">
              <w:rPr>
                <w:b/>
                <w:bCs/>
                <w:sz w:val="24"/>
                <w:szCs w:val="24"/>
              </w:rPr>
              <w:t xml:space="preserve"> significantly</w:t>
            </w:r>
            <w:r w:rsidRPr="00056F01">
              <w:rPr>
                <w:b/>
                <w:bCs/>
                <w:sz w:val="24"/>
                <w:szCs w:val="24"/>
              </w:rPr>
              <w:t xml:space="preserve">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056F01" w:rsidP="006D382B">
            <w:pPr>
              <w:pStyle w:val="Normal17"/>
              <w:jc w:val="both"/>
              <w:rPr>
                <w:sz w:val="24"/>
                <w:szCs w:val="24"/>
              </w:rPr>
            </w:pPr>
            <w:r w:rsidRPr="00056F01">
              <w:rPr>
                <w:sz w:val="24"/>
                <w:szCs w:val="24"/>
              </w:rPr>
              <w:t>None</w:t>
            </w:r>
          </w:p>
        </w:tc>
      </w:tr>
    </w:tbl>
    <w:p w:rsidR="003F00F0" w:rsidRDefault="003F00F0" w:rsidP="00B365E3">
      <w:pPr>
        <w:pStyle w:val="Heading1"/>
      </w:pPr>
    </w:p>
    <w:p w:rsidR="00505CF6" w:rsidRDefault="00505CF6" w:rsidP="00505CF6">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505CF6" w:rsidRPr="00C74FC0" w:rsidTr="00F55C64">
        <w:tc>
          <w:tcPr>
            <w:tcW w:w="1137" w:type="dxa"/>
            <w:noWrap/>
          </w:tcPr>
          <w:p w:rsidR="00505CF6" w:rsidRPr="00CC2D82" w:rsidRDefault="00505CF6" w:rsidP="00F55C64">
            <w:pPr>
              <w:pStyle w:val="Normal17"/>
              <w:overflowPunct/>
              <w:autoSpaceDE/>
              <w:autoSpaceDN/>
              <w:adjustRightInd/>
              <w:textAlignment w:val="auto"/>
              <w:rPr>
                <w:b/>
              </w:rPr>
            </w:pPr>
            <w:r>
              <w:rPr>
                <w:b/>
                <w:bdr w:val="nil"/>
              </w:rPr>
              <w:t>ITEM 2</w:t>
            </w:r>
            <w:r w:rsidRPr="00CC2D82">
              <w:rPr>
                <w:b/>
                <w:bdr w:val="nil"/>
              </w:rPr>
              <w:t xml:space="preserve"> </w:t>
            </w:r>
          </w:p>
        </w:tc>
        <w:tc>
          <w:tcPr>
            <w:tcW w:w="7914" w:type="dxa"/>
            <w:gridSpan w:val="2"/>
          </w:tcPr>
          <w:p w:rsidR="00505CF6" w:rsidRPr="00C74FC0" w:rsidRDefault="00505CF6" w:rsidP="00F55C64">
            <w:pPr>
              <w:pStyle w:val="Normal17"/>
              <w:jc w:val="both"/>
              <w:rPr>
                <w:rFonts w:ascii="Arial Bold" w:hAnsi="Arial Bold"/>
                <w:b/>
                <w:caps/>
              </w:rPr>
            </w:pPr>
            <w:r w:rsidRPr="00505CF6">
              <w:rPr>
                <w:rFonts w:ascii="Arial Bold" w:hAnsi="Arial Bold"/>
                <w:b/>
                <w:caps/>
              </w:rPr>
              <w:t>Acceptance of delegated powers from Oxfordshire County Council relating to the control and prevention of coronavirus.</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 xml:space="preserve">Decision: </w:t>
            </w:r>
          </w:p>
          <w:p w:rsidR="00505CF6" w:rsidRPr="00056F01" w:rsidRDefault="00505CF6" w:rsidP="00F55C64">
            <w:pPr>
              <w:rPr>
                <w:rFonts w:cs="Arial"/>
              </w:rPr>
            </w:pPr>
            <w:r w:rsidRPr="00505CF6">
              <w:rPr>
                <w:rFonts w:cs="Arial"/>
              </w:rPr>
              <w:t>To accept the delegation of powers from Oxfordshire County Council (agreed at the County Cabinet meeting on 15 September 2020) and to enter into a section 101 agreement with Oxfordshire County Council relating to the control and prevention of coronavirus under The Health Protection (Coronavirus, Restriction) (England) (No.3) Regulations 2020.</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sz w:val="24"/>
                <w:szCs w:val="24"/>
              </w:rPr>
            </w:pPr>
            <w:r w:rsidRPr="00505CF6">
              <w:rPr>
                <w:sz w:val="24"/>
                <w:szCs w:val="24"/>
              </w:rPr>
              <w:t>15 September 2020</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sz w:val="24"/>
                <w:szCs w:val="24"/>
                <w:bdr w:val="nil"/>
              </w:rPr>
            </w:pPr>
            <w:r w:rsidRPr="00AD1DCC">
              <w:rPr>
                <w:sz w:val="24"/>
                <w:szCs w:val="24"/>
                <w:bdr w:val="nil"/>
              </w:rPr>
              <w:t>Head of Paid Service (Chief Executive)</w:t>
            </w:r>
          </w:p>
          <w:p w:rsidR="00505CF6" w:rsidRPr="00AD1DCC" w:rsidRDefault="00505CF6" w:rsidP="00F55C64">
            <w:pPr>
              <w:pStyle w:val="Normal17"/>
              <w:jc w:val="both"/>
              <w:rPr>
                <w:sz w:val="24"/>
                <w:szCs w:val="24"/>
                <w:bdr w:val="nil"/>
              </w:rPr>
            </w:pPr>
          </w:p>
          <w:p w:rsidR="00505CF6" w:rsidRPr="00AD1DCC" w:rsidRDefault="00505CF6" w:rsidP="00505CF6">
            <w:pPr>
              <w:pStyle w:val="Normal17"/>
              <w:jc w:val="both"/>
              <w:rPr>
                <w:sz w:val="24"/>
                <w:szCs w:val="24"/>
                <w:bdr w:val="nil"/>
              </w:rPr>
            </w:pPr>
            <w:r w:rsidRPr="00AD1DCC">
              <w:rPr>
                <w:sz w:val="24"/>
                <w:szCs w:val="24"/>
                <w:bdr w:val="nil"/>
              </w:rPr>
              <w:t>Decision taken in consultation with the</w:t>
            </w:r>
            <w:r>
              <w:rPr>
                <w:sz w:val="24"/>
                <w:szCs w:val="24"/>
                <w:bdr w:val="nil"/>
              </w:rPr>
              <w:t xml:space="preserve"> Leader of the Council, the Head of Financial Services and the Head of Law and Governance.</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5CF6" w:rsidRPr="00AD1DCC" w:rsidRDefault="00505CF6" w:rsidP="00F55C64">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505CF6" w:rsidRPr="00AD1DCC" w:rsidRDefault="00505CF6" w:rsidP="00F55C64">
            <w:pPr>
              <w:rPr>
                <w:rFonts w:cs="Arial"/>
                <w:sz w:val="8"/>
                <w:szCs w:val="8"/>
              </w:rPr>
            </w:pPr>
          </w:p>
          <w:p w:rsidR="00505CF6" w:rsidRPr="00BE11BE" w:rsidRDefault="00505CF6" w:rsidP="00F55C64">
            <w:pPr>
              <w:rPr>
                <w:rFonts w:cs="Arial"/>
                <w:szCs w:val="24"/>
              </w:rPr>
            </w:pPr>
            <w:r w:rsidRPr="00AD1DCC">
              <w:rPr>
                <w:rFonts w:cs="Arial"/>
                <w:szCs w:val="24"/>
              </w:rPr>
              <w:t>Constitution 9.3(b)</w:t>
            </w:r>
            <w:r>
              <w:rPr>
                <w:rFonts w:cs="Arial"/>
                <w:szCs w:val="24"/>
              </w:rPr>
              <w:t>:</w:t>
            </w:r>
          </w:p>
          <w:p w:rsidR="00505CF6" w:rsidRPr="00BE11BE" w:rsidRDefault="00505CF6" w:rsidP="00F55C64">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F55C64">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Cs/>
                <w:sz w:val="24"/>
                <w:szCs w:val="24"/>
              </w:rPr>
            </w:pPr>
            <w:r>
              <w:rPr>
                <w:bCs/>
                <w:sz w:val="24"/>
                <w:szCs w:val="24"/>
              </w:rPr>
              <w:t>Not key</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lastRenderedPageBreak/>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BC4998" w:rsidP="00F55C64">
            <w:pPr>
              <w:rPr>
                <w:rFonts w:cs="Arial"/>
                <w:szCs w:val="24"/>
              </w:rPr>
            </w:pPr>
            <w:r>
              <w:rPr>
                <w:rFonts w:cs="Arial"/>
                <w:szCs w:val="24"/>
              </w:rPr>
              <w:t xml:space="preserve">To </w:t>
            </w:r>
            <w:r w:rsidRPr="00BC4998">
              <w:rPr>
                <w:rFonts w:cs="Arial"/>
                <w:szCs w:val="24"/>
              </w:rPr>
              <w:t>optimise the local response to the control and prevention of coronavirus.</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rPr>
                <w:szCs w:val="24"/>
              </w:rPr>
            </w:pPr>
            <w:r w:rsidRPr="00505CF6">
              <w:rPr>
                <w:szCs w:val="24"/>
              </w:rPr>
              <w:t>To not accept the delegated powers – this option was rejected as it would not optimise the local response to the control and prevention of coronavirus.</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A31EFD">
            <w:pPr>
              <w:pStyle w:val="Normal17"/>
              <w:rPr>
                <w:b/>
                <w:bCs/>
                <w:sz w:val="24"/>
                <w:szCs w:val="24"/>
              </w:rPr>
            </w:pPr>
            <w:r w:rsidRPr="00056F01">
              <w:rPr>
                <w:b/>
                <w:bCs/>
                <w:sz w:val="24"/>
                <w:szCs w:val="24"/>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F55C64">
            <w:pPr>
              <w:pStyle w:val="Normal17"/>
              <w:jc w:val="both"/>
              <w:rPr>
                <w:sz w:val="24"/>
                <w:szCs w:val="24"/>
              </w:rPr>
            </w:pPr>
            <w:r w:rsidRPr="00056F01">
              <w:rPr>
                <w:sz w:val="24"/>
                <w:szCs w:val="24"/>
              </w:rPr>
              <w:t>None</w:t>
            </w:r>
          </w:p>
        </w:tc>
      </w:tr>
    </w:tbl>
    <w:p w:rsidR="00505CF6" w:rsidRDefault="00505CF6" w:rsidP="00505CF6">
      <w:pPr>
        <w:pStyle w:val="ListParagraph"/>
        <w:numPr>
          <w:ilvl w:val="0"/>
          <w:numId w:val="0"/>
        </w:numPr>
        <w:ind w:left="360"/>
      </w:pPr>
    </w:p>
    <w:p w:rsidR="00811BC4" w:rsidRDefault="00811BC4" w:rsidP="00505CF6">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505CF6" w:rsidRPr="00C74FC0" w:rsidTr="00F55C64">
        <w:tc>
          <w:tcPr>
            <w:tcW w:w="1137" w:type="dxa"/>
            <w:noWrap/>
          </w:tcPr>
          <w:p w:rsidR="00505CF6" w:rsidRPr="00CC2D82" w:rsidRDefault="00505CF6" w:rsidP="00F55C64">
            <w:pPr>
              <w:pStyle w:val="Normal17"/>
              <w:overflowPunct/>
              <w:autoSpaceDE/>
              <w:autoSpaceDN/>
              <w:adjustRightInd/>
              <w:textAlignment w:val="auto"/>
              <w:rPr>
                <w:b/>
              </w:rPr>
            </w:pPr>
            <w:r w:rsidRPr="00CC2D82">
              <w:rPr>
                <w:b/>
                <w:bdr w:val="nil"/>
              </w:rPr>
              <w:t xml:space="preserve">ITEM </w:t>
            </w:r>
            <w:r>
              <w:rPr>
                <w:b/>
                <w:bdr w:val="nil"/>
              </w:rPr>
              <w:t>3</w:t>
            </w:r>
          </w:p>
        </w:tc>
        <w:tc>
          <w:tcPr>
            <w:tcW w:w="7914" w:type="dxa"/>
            <w:gridSpan w:val="2"/>
          </w:tcPr>
          <w:p w:rsidR="00505CF6" w:rsidRPr="00C74FC0" w:rsidRDefault="00A31EFD" w:rsidP="00F55C64">
            <w:pPr>
              <w:pStyle w:val="Normal17"/>
              <w:jc w:val="both"/>
              <w:rPr>
                <w:rFonts w:ascii="Arial Bold" w:hAnsi="Arial Bold"/>
                <w:b/>
                <w:caps/>
              </w:rPr>
            </w:pPr>
            <w:r w:rsidRPr="00A31EFD">
              <w:rPr>
                <w:rFonts w:ascii="Arial Bold" w:hAnsi="Arial Bold"/>
                <w:b/>
                <w:caps/>
              </w:rPr>
              <w:t>Reopening of Leys Leisure Centre and Oxford Ice Rink.</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 xml:space="preserve">Decision: </w:t>
            </w:r>
          </w:p>
          <w:p w:rsidR="00A31EFD" w:rsidRDefault="00A31EFD" w:rsidP="00A31EFD">
            <w:pPr>
              <w:rPr>
                <w:rFonts w:cs="Arial"/>
              </w:rPr>
            </w:pPr>
            <w:r>
              <w:rPr>
                <w:rFonts w:cs="Arial"/>
              </w:rPr>
              <w:t>To agree to the following proposals:</w:t>
            </w:r>
          </w:p>
          <w:p w:rsidR="00A31EFD" w:rsidRPr="00712A96" w:rsidRDefault="00A31EFD" w:rsidP="00A31EFD">
            <w:pPr>
              <w:rPr>
                <w:rFonts w:cs="Arial"/>
              </w:rPr>
            </w:pPr>
            <w:r>
              <w:rPr>
                <w:rFonts w:cs="Arial"/>
              </w:rPr>
              <w:t xml:space="preserve">i) </w:t>
            </w:r>
            <w:r w:rsidRPr="00712A96">
              <w:rPr>
                <w:rFonts w:cs="Arial"/>
              </w:rPr>
              <w:t xml:space="preserve">Opening the dryside at the Leys </w:t>
            </w:r>
            <w:r>
              <w:rPr>
                <w:rFonts w:cs="Arial"/>
              </w:rPr>
              <w:t>Leisure Centre</w:t>
            </w:r>
          </w:p>
          <w:p w:rsidR="00A31EFD" w:rsidRPr="00712A96" w:rsidRDefault="00A31EFD" w:rsidP="00A31EFD">
            <w:pPr>
              <w:rPr>
                <w:rFonts w:cs="Arial"/>
              </w:rPr>
            </w:pPr>
            <w:r>
              <w:rPr>
                <w:rFonts w:cs="Arial"/>
              </w:rPr>
              <w:t>ii) Opening the Oxford Ice Rink (from October)</w:t>
            </w:r>
          </w:p>
          <w:p w:rsidR="00505CF6" w:rsidRPr="00056F01" w:rsidRDefault="00A31EFD" w:rsidP="00F55C64">
            <w:pPr>
              <w:rPr>
                <w:rFonts w:cs="Arial"/>
              </w:rPr>
            </w:pPr>
            <w:r>
              <w:rPr>
                <w:rFonts w:cs="Arial"/>
              </w:rPr>
              <w:t>iii) To hold</w:t>
            </w:r>
            <w:r w:rsidRPr="00712A96">
              <w:rPr>
                <w:rFonts w:cs="Arial"/>
              </w:rPr>
              <w:t xml:space="preserve"> </w:t>
            </w:r>
            <w:r>
              <w:rPr>
                <w:rFonts w:cs="Arial"/>
              </w:rPr>
              <w:t>conversations</w:t>
            </w:r>
            <w:r w:rsidRPr="00712A96">
              <w:rPr>
                <w:rFonts w:cs="Arial"/>
              </w:rPr>
              <w:t xml:space="preserve"> with the </w:t>
            </w:r>
            <w:r>
              <w:rPr>
                <w:rFonts w:cs="Arial"/>
              </w:rPr>
              <w:t>City of Oxford Swim Club</w:t>
            </w:r>
            <w:r w:rsidRPr="00712A96">
              <w:rPr>
                <w:rFonts w:cs="Arial"/>
              </w:rPr>
              <w:t xml:space="preserve"> </w:t>
            </w:r>
            <w:r>
              <w:rPr>
                <w:rFonts w:cs="Arial"/>
              </w:rPr>
              <w:t>about reopening the Leys Pools.</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BC4998" w:rsidP="00F55C64">
            <w:pPr>
              <w:pStyle w:val="Normal17"/>
              <w:jc w:val="both"/>
              <w:rPr>
                <w:sz w:val="24"/>
                <w:szCs w:val="24"/>
              </w:rPr>
            </w:pPr>
            <w:r w:rsidRPr="00BC4998">
              <w:rPr>
                <w:sz w:val="24"/>
                <w:szCs w:val="24"/>
              </w:rPr>
              <w:t>15 September 2020</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sz w:val="24"/>
                <w:szCs w:val="24"/>
                <w:bdr w:val="nil"/>
              </w:rPr>
            </w:pPr>
            <w:r w:rsidRPr="00AD1DCC">
              <w:rPr>
                <w:sz w:val="24"/>
                <w:szCs w:val="24"/>
                <w:bdr w:val="nil"/>
              </w:rPr>
              <w:t>Head of Paid Service (Chief Executive)</w:t>
            </w:r>
          </w:p>
          <w:p w:rsidR="00505CF6" w:rsidRPr="00AD1DCC" w:rsidRDefault="00505CF6" w:rsidP="00F55C64">
            <w:pPr>
              <w:pStyle w:val="Normal17"/>
              <w:jc w:val="both"/>
              <w:rPr>
                <w:sz w:val="24"/>
                <w:szCs w:val="24"/>
                <w:bdr w:val="nil"/>
              </w:rPr>
            </w:pPr>
          </w:p>
          <w:p w:rsidR="00505CF6" w:rsidRPr="00AD1DCC" w:rsidRDefault="00505CF6" w:rsidP="00811BC4">
            <w:pPr>
              <w:pStyle w:val="Normal17"/>
              <w:jc w:val="both"/>
              <w:rPr>
                <w:sz w:val="24"/>
                <w:szCs w:val="24"/>
                <w:bdr w:val="nil"/>
              </w:rPr>
            </w:pPr>
            <w:r w:rsidRPr="00AD1DCC">
              <w:rPr>
                <w:sz w:val="24"/>
                <w:szCs w:val="24"/>
                <w:bdr w:val="nil"/>
              </w:rPr>
              <w:t xml:space="preserve">Decision taken in consultation with the Cabinet Member for </w:t>
            </w:r>
            <w:r w:rsidR="00811BC4">
              <w:rPr>
                <w:sz w:val="24"/>
                <w:szCs w:val="24"/>
                <w:bdr w:val="nil"/>
              </w:rPr>
              <w:t>Leisure and Parks</w:t>
            </w:r>
            <w:r>
              <w:rPr>
                <w:sz w:val="24"/>
                <w:szCs w:val="24"/>
                <w:bdr w:val="nil"/>
              </w:rPr>
              <w:t>, the Head of Financial Services and the Head of Law and Governance</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5CF6" w:rsidRPr="00AD1DCC" w:rsidRDefault="00505CF6" w:rsidP="00A31EFD">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505CF6" w:rsidRPr="00AD1DCC" w:rsidRDefault="00505CF6" w:rsidP="00F55C64">
            <w:pPr>
              <w:rPr>
                <w:rFonts w:cs="Arial"/>
                <w:sz w:val="8"/>
                <w:szCs w:val="8"/>
              </w:rPr>
            </w:pPr>
          </w:p>
          <w:p w:rsidR="00505CF6" w:rsidRPr="00BE11BE" w:rsidRDefault="00505CF6" w:rsidP="00F55C64">
            <w:pPr>
              <w:rPr>
                <w:rFonts w:cs="Arial"/>
                <w:szCs w:val="24"/>
              </w:rPr>
            </w:pPr>
            <w:r w:rsidRPr="00AD1DCC">
              <w:rPr>
                <w:rFonts w:cs="Arial"/>
                <w:szCs w:val="24"/>
              </w:rPr>
              <w:t>Constitution 9.3(b)</w:t>
            </w:r>
            <w:r>
              <w:rPr>
                <w:rFonts w:cs="Arial"/>
                <w:szCs w:val="24"/>
              </w:rPr>
              <w:t>:</w:t>
            </w:r>
          </w:p>
          <w:p w:rsidR="00505CF6" w:rsidRPr="00BE11BE" w:rsidRDefault="00505CF6" w:rsidP="00F55C64">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F55C64">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BC4998" w:rsidP="00F55C64">
            <w:pPr>
              <w:pStyle w:val="Normal17"/>
              <w:jc w:val="both"/>
              <w:rPr>
                <w:bCs/>
                <w:sz w:val="24"/>
                <w:szCs w:val="24"/>
              </w:rPr>
            </w:pPr>
            <w:r>
              <w:rPr>
                <w:bCs/>
                <w:sz w:val="24"/>
                <w:szCs w:val="24"/>
              </w:rPr>
              <w:t>Not key</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BC4998" w:rsidP="00BC4998">
            <w:pPr>
              <w:rPr>
                <w:rFonts w:cs="Arial"/>
                <w:szCs w:val="24"/>
              </w:rPr>
            </w:pPr>
            <w:r w:rsidRPr="00BC4998">
              <w:rPr>
                <w:rFonts w:cs="Arial"/>
                <w:szCs w:val="24"/>
              </w:rPr>
              <w:t xml:space="preserve">To enable the </w:t>
            </w:r>
            <w:r>
              <w:rPr>
                <w:rFonts w:cs="Arial"/>
                <w:szCs w:val="24"/>
              </w:rPr>
              <w:t xml:space="preserve">second </w:t>
            </w:r>
            <w:r w:rsidRPr="00BC4998">
              <w:rPr>
                <w:rFonts w:cs="Arial"/>
                <w:szCs w:val="24"/>
              </w:rPr>
              <w:t>phase of the re-opening of Fusion facilities</w:t>
            </w:r>
            <w:r w:rsidR="00A31EFD">
              <w:rPr>
                <w:rFonts w:cs="Arial"/>
                <w:szCs w:val="24"/>
              </w:rPr>
              <w:t xml:space="preserve"> following the closures caused by the pandemic.</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C4998" w:rsidRPr="00BC4998" w:rsidRDefault="00BC4998" w:rsidP="00BC4998">
            <w:pPr>
              <w:rPr>
                <w:szCs w:val="24"/>
              </w:rPr>
            </w:pPr>
            <w:r w:rsidRPr="00BC4998">
              <w:rPr>
                <w:szCs w:val="24"/>
              </w:rPr>
              <w:t>Consideration was given to the social and economic case for reopening services at each of the Council’s leisure facilities which have remained closed during the Covid-19 pandemic, with a view to reopening services where viable.</w:t>
            </w:r>
          </w:p>
          <w:p w:rsidR="00BC4998" w:rsidRPr="00BC4998" w:rsidRDefault="00BC4998" w:rsidP="00BC4998">
            <w:pPr>
              <w:rPr>
                <w:szCs w:val="24"/>
              </w:rPr>
            </w:pPr>
            <w:r w:rsidRPr="00BC4998">
              <w:rPr>
                <w:szCs w:val="24"/>
              </w:rPr>
              <w:t>Barton to remain closed for the time being subject to officers identifying a viable option for reopening</w:t>
            </w:r>
          </w:p>
          <w:p w:rsidR="00BC4998" w:rsidRPr="00BC4998" w:rsidRDefault="00BC4998" w:rsidP="00BC4998">
            <w:pPr>
              <w:rPr>
                <w:szCs w:val="24"/>
              </w:rPr>
            </w:pPr>
            <w:r w:rsidRPr="00BC4998">
              <w:rPr>
                <w:szCs w:val="24"/>
              </w:rPr>
              <w:lastRenderedPageBreak/>
              <w:t>Ferry remains open and Fusion Lifestyle are looking to broaden the service offer at no cost to the Council.</w:t>
            </w:r>
          </w:p>
          <w:p w:rsidR="00505CF6" w:rsidRPr="00AD1DCC" w:rsidRDefault="00BC4998" w:rsidP="00BC4998">
            <w:pPr>
              <w:rPr>
                <w:szCs w:val="24"/>
              </w:rPr>
            </w:pPr>
            <w:r w:rsidRPr="00BC4998">
              <w:rPr>
                <w:szCs w:val="24"/>
              </w:rPr>
              <w:t>Hinskey Pool is subject to leak repair works and will remain closed until 2021.</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A31EFD">
            <w:pPr>
              <w:pStyle w:val="Normal17"/>
              <w:rPr>
                <w:b/>
                <w:bCs/>
                <w:sz w:val="24"/>
                <w:szCs w:val="24"/>
              </w:rPr>
            </w:pPr>
            <w:r w:rsidRPr="00056F01">
              <w:rPr>
                <w:b/>
                <w:bCs/>
                <w:sz w:val="24"/>
                <w:szCs w:val="24"/>
              </w:rPr>
              <w:lastRenderedPageBreak/>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F55C64">
            <w:pPr>
              <w:pStyle w:val="Normal17"/>
              <w:jc w:val="both"/>
              <w:rPr>
                <w:sz w:val="24"/>
                <w:szCs w:val="24"/>
              </w:rPr>
            </w:pPr>
            <w:r w:rsidRPr="00056F01">
              <w:rPr>
                <w:sz w:val="24"/>
                <w:szCs w:val="24"/>
              </w:rPr>
              <w:t>None</w:t>
            </w:r>
          </w:p>
        </w:tc>
      </w:tr>
    </w:tbl>
    <w:p w:rsidR="00505CF6" w:rsidRDefault="00505CF6" w:rsidP="00505CF6">
      <w:pPr>
        <w:pStyle w:val="Heading1"/>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from the decision</w:t>
      </w:r>
      <w:r w:rsidR="00505CF6">
        <w:t>s</w:t>
      </w:r>
      <w:r w:rsidR="00AD1DCC">
        <w:t xml:space="preserve"> are </w:t>
      </w:r>
      <w:r>
        <w:t xml:space="preserve">set </w:t>
      </w:r>
      <w:r w:rsidRPr="00AB6DD5">
        <w:t xml:space="preserve">out in </w:t>
      </w:r>
      <w:r w:rsidR="00505CF6">
        <w:t xml:space="preserve">the published decisions notices and any supporting </w:t>
      </w:r>
      <w:r w:rsidR="00811BC4">
        <w:t>documents</w:t>
      </w:r>
      <w:r>
        <w:t>.</w:t>
      </w:r>
      <w:r w:rsidR="00AD1DCC">
        <w:t xml:space="preserve"> There are no other financial issues arising </w:t>
      </w:r>
      <w:r w:rsidR="00505CF6">
        <w:t xml:space="preserve">directly </w:t>
      </w:r>
      <w:r w:rsidR="00AD1DCC">
        <w:t>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p>
    <w:p w:rsidR="00B12E70" w:rsidRDefault="00B12E70" w:rsidP="009B76B7">
      <w:pPr>
        <w:pStyle w:val="ListParagraph"/>
        <w:numPr>
          <w:ilvl w:val="0"/>
          <w:numId w:val="0"/>
        </w:numPr>
        <w:spacing w:after="0"/>
        <w:ind w:left="720"/>
      </w:pPr>
    </w:p>
    <w:p w:rsidR="00CB2FF8" w:rsidRPr="001356F1" w:rsidRDefault="00CB2FF8" w:rsidP="003F00F0">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C3011"/>
    <w:rsid w:val="00180C5D"/>
    <w:rsid w:val="001D1097"/>
    <w:rsid w:val="001E130C"/>
    <w:rsid w:val="0026383C"/>
    <w:rsid w:val="00286CF6"/>
    <w:rsid w:val="00347BAC"/>
    <w:rsid w:val="00347C6E"/>
    <w:rsid w:val="00371BAC"/>
    <w:rsid w:val="003C531A"/>
    <w:rsid w:val="003D56D2"/>
    <w:rsid w:val="003F00F0"/>
    <w:rsid w:val="0043307F"/>
    <w:rsid w:val="004B32E1"/>
    <w:rsid w:val="004C2AAE"/>
    <w:rsid w:val="004D29FE"/>
    <w:rsid w:val="005043A3"/>
    <w:rsid w:val="00505CF6"/>
    <w:rsid w:val="00560426"/>
    <w:rsid w:val="005C1B66"/>
    <w:rsid w:val="0061040F"/>
    <w:rsid w:val="00660A3B"/>
    <w:rsid w:val="00684B85"/>
    <w:rsid w:val="006B7E29"/>
    <w:rsid w:val="006E23EA"/>
    <w:rsid w:val="0076343A"/>
    <w:rsid w:val="007C397B"/>
    <w:rsid w:val="007D79E8"/>
    <w:rsid w:val="007F17FA"/>
    <w:rsid w:val="00811BC4"/>
    <w:rsid w:val="00821101"/>
    <w:rsid w:val="009327DF"/>
    <w:rsid w:val="0099330A"/>
    <w:rsid w:val="00993F51"/>
    <w:rsid w:val="009B76B7"/>
    <w:rsid w:val="009C0464"/>
    <w:rsid w:val="009C4B3B"/>
    <w:rsid w:val="00A21C38"/>
    <w:rsid w:val="00A31EFD"/>
    <w:rsid w:val="00A608BE"/>
    <w:rsid w:val="00AB5686"/>
    <w:rsid w:val="00AB6DD5"/>
    <w:rsid w:val="00AC22F7"/>
    <w:rsid w:val="00AD19D7"/>
    <w:rsid w:val="00AD1DCC"/>
    <w:rsid w:val="00B12E70"/>
    <w:rsid w:val="00B30803"/>
    <w:rsid w:val="00B365E3"/>
    <w:rsid w:val="00B431BE"/>
    <w:rsid w:val="00B946D4"/>
    <w:rsid w:val="00BB4116"/>
    <w:rsid w:val="00BB5A0C"/>
    <w:rsid w:val="00BC313A"/>
    <w:rsid w:val="00BC4998"/>
    <w:rsid w:val="00BE11BE"/>
    <w:rsid w:val="00C1481D"/>
    <w:rsid w:val="00CB1D9E"/>
    <w:rsid w:val="00CB2FF8"/>
    <w:rsid w:val="00CC2D82"/>
    <w:rsid w:val="00CD377E"/>
    <w:rsid w:val="00CF05DA"/>
    <w:rsid w:val="00D23270"/>
    <w:rsid w:val="00D3048C"/>
    <w:rsid w:val="00D35A7A"/>
    <w:rsid w:val="00DB42E2"/>
    <w:rsid w:val="00DB59F5"/>
    <w:rsid w:val="00DC3B68"/>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0EC8-38D6-447A-88A0-6EAA5899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1B28662F</Template>
  <TotalTime>24</TotalTime>
  <Pages>5</Pages>
  <Words>1411</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8944</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6</cp:revision>
  <cp:lastPrinted>2015-07-24T10:00:00Z</cp:lastPrinted>
  <dcterms:created xsi:type="dcterms:W3CDTF">2020-10-06T10:52:00Z</dcterms:created>
  <dcterms:modified xsi:type="dcterms:W3CDTF">2020-10-06T12:23:00Z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